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437 BGB — Rechte des Käufers bei Mängeln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die Sache mangelhaft, kann der Käufer, wenn die Voraussetzungen der folgenden Vorschriften vorliegen und soweit nicht ein anderes bestimmt ist,</w:t>
      </w:r>
    </w:p>
    <w:p>
      <w:pPr>
        <w:ind w:left="420"/>
      </w:pPr>
      <w:r>
        <w:t xml:space="preserve">1. nach § 439 Nacherfüllung verlangen,</w:t>
      </w:r>
    </w:p>
    <w:p>
      <w:pPr>
        <w:ind w:left="420"/>
      </w:pPr>
      <w:r>
        <w:t xml:space="preserve">2. nach den §§ 440, 323 und 326 Abs. 5 von dem Vertrag zurücktreten oder nach § 441 den Kaufpreis mindern und</w:t>
      </w:r>
    </w:p>
    <w:p>
      <w:pPr>
        <w:ind w:left="420"/>
      </w:pPr>
      <w:r>
        <w:t xml:space="preserve">3. nach den §§ 440, 280, 281, 283 und 311a Schadensersatz oder nach § 284 Ersatz vergeblicher Aufwendungen verlangen.</w:t>
      </w:r>
    </w:p>
    <w:p>
      <w:r>
        <w:rPr>
          <w:color w:val="555555"/>
          <w:sz w:val="17"/>
        </w:rPr>
        <w:t xml:space="preserve">Zitiervorschlag: § 437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https://recht.nulegal.eu/gesetze/BGB/437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