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429 BGB — Wirkung von Veränderungen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Verzug eines Gesamtgläubigers wirkt auch gegen die übrigen Gläubiger.</w:t>
      </w:r>
    </w:p>
    <w:p>
      <w:r>
        <w:t xml:space="preserve">(2) Vereinigen sich Forderung und Schuld in der Person eines Gesamtgläubigers, so erlöschen die Rechte der übrigen Gläubiger gegen den Schuldner.</w:t>
      </w:r>
    </w:p>
    <w:p>
      <w:r>
        <w:t xml:space="preserve">(3) Im Übrigen finden die Vorschriften der §§ 422, 423, 425 entsprechende Anwendung. Insbesondere bleiben, wenn ein Gesamtgläubiger seine Forderung auf einen anderen überträgt, die Rechte der übrigen Gläubiger unberührt.</w:t>
      </w:r>
    </w:p>
    <w:p>
      <w:r>
        <w:rPr>
          <w:color w:val="555555"/>
          <w:sz w:val="17"/>
        </w:rPr>
        <w:t xml:space="preserve">Zitiervorschlag: § 429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https://recht.nulegal.eu/gesetze/BGB/429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