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422 BGB — Wirkung der Erfüllung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Erfüllung durch einen Gesamtschuldner wirkt auch für die übrigen Schuldner. Das Gleiche gilt von der Leistung an Erfüllungs statt, der Hinterlegung und der Aufrechnung.</w:t>
      </w:r>
    </w:p>
    <w:p>
      <w:r>
        <w:t xml:space="preserve">(2) Eine Forderung, die einem Gesamtschuldner zusteht, kann nicht von den übrigen Schuldnern aufgerechnet werden.</w:t>
      </w:r>
    </w:p>
    <w:p>
      <w:r>
        <w:rPr>
          <w:color w:val="555555"/>
          <w:sz w:val="17"/>
        </w:rPr>
        <w:t xml:space="preserve">Zitiervorschlag: § 422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