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417 BGB — Einwendungen des Übernehmers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Übernehmer kann dem Gläubiger die Einwendungen entgegensetzen, welche sich aus dem Rechtsverhältnis zwischen dem Gläubiger und dem bisherigen Schuldner ergeben. Eine dem bisherigen Schuldner zustehende Forderung kann er nicht aufrechnen.</w:t>
      </w:r>
    </w:p>
    <w:p>
      <w:r>
        <w:t xml:space="preserve">(2) Aus dem der Schuldübernahme zugrunde liegenden Rechtsverhältnis zwischen dem Übernehmer und dem bisherigen Schuldner kann der Übernehmer dem Gläubiger gegenüber Einwendungen nicht herleiten.</w:t>
      </w:r>
    </w:p>
    <w:p>
      <w:r>
        <w:rPr>
          <w:color w:val="555555"/>
          <w:sz w:val="17"/>
        </w:rPr>
        <w:t xml:space="preserve">Zitiervorschlag: § 417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