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407 BGB — Rechtshandlungen gegenüber dem bisherigen Gläubiger</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neue Gläubiger muss eine Leistung, die der Schuldner nach der Abtretung an den bisherigen Gläubiger bewirkt, sowie jedes Rechtsgeschäft, das nach der Abtretung zwischen dem Schuldner und dem bisherigen Gläubiger in Ansehung der Forderung vorgenommen wird, gegen sich gelten lassen, es sei denn, dass der Schuldner die Abtretung bei der Leistung oder der Vornahme des Rechtsgeschäfts kennt.</w:t>
      </w:r>
    </w:p>
    <w:p>
      <w:r>
        <w:t xml:space="preserve">(2) Ist in einem nach der Abtretung zwischen dem Schuldner und dem bisherigen Gläubiger anhängig gewordenen Rechtsstreit ein rechtskräftiges Urteil über die Forderung ergangen, so muss der neue Gläubiger das Urteil gegen sich gelten lassen, es sei denn, dass der Schuldner die Abtretung bei dem Eintritt der Rechtshängigkeit gekannt hat.</w:t>
      </w:r>
    </w:p>
    <w:p>
      <w:r>
        <w:rPr>
          <w:color w:val="555555"/>
          <w:sz w:val="17"/>
        </w:rPr>
        <w:t xml:space="preserve">Zitiervorschlag: § 407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https://recht.nulegal.eu/gesetze/BGB/407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407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