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401 BGB — Übergang der Neben- und Vorzugsrechte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der abgetretenen Forderung gehen die Hypotheken, Schiffshypotheken oder Pfandrechte, die für sie bestehen, sowie die Rechte aus einer für sie bestellten Bürgschaft auf den neuen Gläubiger über.</w:t>
      </w:r>
    </w:p>
    <w:p>
      <w:r>
        <w:t xml:space="preserve">(2) Ein mit der Forderung für den Fall der Zwangsvollstreckung oder des Insolvenzverfahrens verbundenes Vorzugsrecht kann auch der neue Gläubiger geltend machen.</w:t>
      </w:r>
    </w:p>
    <w:p>
      <w:r>
        <w:rPr>
          <w:color w:val="555555"/>
          <w:sz w:val="17"/>
        </w:rPr>
        <w:t xml:space="preserve">Zitiervorschlag: § 401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