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BGB — Nachgiebige Vorschriften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27.10.2023 (konsolidierte Textfassung, kein amtliches Inkrafttretensdatum)</w:t>
      </w:r>
    </w:p>
    <w:p>
      <w:r>
        <w:t xml:space="preserve">Die Vorschriften des § 26 Absatz 2 Satz 1, des § 27 Absatz 1 und 3, der §§ 28, 31a Abs. 1 Satz 2 sowie der §§ 32, 33 und 38 finden insoweit keine Anwendung als die Satzung ein anderes bestimmt. Von § 34 kann auch für die Beschlussfassung des Vorstands durch die Satzung nicht abgewichen werden.</w:t>
      </w:r>
    </w:p>
    <w:p>
      <w:r>
        <w:rPr>
          <w:color w:val="555555"/>
          <w:sz w:val="17"/>
        </w:rPr>
        <w:t xml:space="preserve">Zitiervorschlag: § 40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