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396 BGB — Mehrheit von Forderungen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Hat der eine oder der andere Teil mehrere zur Aufrechnung geeignete Forderungen, so kann der aufrechnende Teil die Forderungen bestimmen, die gegeneinander aufgerechnet werden sollen. Wird die Aufrechnung ohne eine solche Bestimmung erklärt oder widerspricht der andere Teil unverzüglich, so findet die Vorschrift des § 366 Abs. 2 entsprechende Anwendung.</w:t>
      </w:r>
    </w:p>
    <w:p>
      <w:r>
        <w:t xml:space="preserve">(2) Schuldet der aufrechnende Teil dem anderen Teil außer der Hauptleistung Zinsen und Kosten, so findet die Vorschrift des § 367 entsprechende Anwendung.</w:t>
      </w:r>
    </w:p>
    <w:p>
      <w:r>
        <w:rPr>
          <w:color w:val="555555"/>
          <w:sz w:val="17"/>
        </w:rPr>
        <w:t xml:space="preserve">Zitiervorschlag: § 396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