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393 BGB — Keine Aufrechnung gegen Forderung aus unerlaubter Handlung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 eine Forderung aus einer vorsätzlich begangenen unerlaubten Handlung ist die Aufrechnung nicht zulässig.</w:t>
      </w:r>
    </w:p>
    <w:p>
      <w:r>
        <w:rPr>
          <w:color w:val="555555"/>
          <w:sz w:val="17"/>
        </w:rPr>
        <w:t xml:space="preserve">Zitiervorschlag: § 393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https://recht.nulegal.eu/gesetze/BGB/393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