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BGB — Austritt aus dem Verein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sind zum Austritt aus dem Verein berechtigt.</w:t>
      </w:r>
    </w:p>
    <w:p>
      <w:r>
        <w:t xml:space="preserve">(2) Durch die Satzung kann bestimmt werden, dass der Austritt nur am Schluss eines Geschäftsjahrs oder erst nach dem Ablauf einer Kündigungsfrist zulässig ist; die Kündigungsfrist kann höchstens zwei Jahre betragen.</w:t>
      </w:r>
    </w:p>
    <w:p>
      <w:r>
        <w:rPr>
          <w:color w:val="555555"/>
          <w:sz w:val="17"/>
        </w:rPr>
        <w:t xml:space="preserve">Zitiervorschlag: § 39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