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381 BGB — Kosten der Hinterlegung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Kosten der Hinterlegung fallen dem Gläubiger zur Last, sofern nicht der Schuldner die hinterlegte Sache zurücknimmt.</w:t>
      </w:r>
    </w:p>
    <w:p>
      <w:r>
        <w:rPr>
          <w:color w:val="555555"/>
          <w:sz w:val="17"/>
        </w:rPr>
        <w:t xml:space="preserve">Zitiervorschlag: § 381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https://recht.nulegal.eu/gesetze/BGB/381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