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379 BGB — Wirkung der Hinterlegung bei nicht ausgeschlossener Rücknahme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Rücknahme der hinterlegten Sache nicht ausgeschlossen, so kann der Schuldner den Gläubiger auf die hinterlegte Sache verweisen.</w:t>
      </w:r>
    </w:p>
    <w:p>
      <w:r>
        <w:t xml:space="preserve">(2) Solange die Sache hinterlegt ist, trägt der Gläubiger die Gefahr und ist der Schuldner nicht verpflichtet, Zinsen zu zahlen oder Ersatz für nicht gezogene Nutzungen zu leisten.</w:t>
      </w:r>
    </w:p>
    <w:p>
      <w:r>
        <w:t xml:space="preserve">(3) Nimmt der Schuldner die hinterlegte Sache zurück, so gilt die Hinterlegung als nicht erfolgt.</w:t>
      </w:r>
    </w:p>
    <w:p>
      <w:r>
        <w:rPr>
          <w:color w:val="555555"/>
          <w:sz w:val="17"/>
        </w:rPr>
        <w:t xml:space="preserve">Zitiervorschlag: § 379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https://recht.nulegal.eu/gesetze/BGB/379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379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