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377 BGB — Unpfändbarkeit des Rücknahmerechts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Recht zur Rücknahme ist der Pfändung nicht unterworfen.</w:t>
      </w:r>
    </w:p>
    <w:p>
      <w:r>
        <w:t xml:space="preserve">(2) Wird über das Vermögen des Schuldners das Insolvenzverfahren eröffnet, so kann während des Insolvenzverfahrens das Recht zur Rücknahme auch nicht von dem Schuldner ausgeübt werden.</w:t>
      </w:r>
    </w:p>
    <w:p>
      <w:r>
        <w:rPr>
          <w:color w:val="555555"/>
          <w:sz w:val="17"/>
        </w:rPr>
        <w:t xml:space="preserve">Zitiervorschlag: § 377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