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374 BGB — Hinterlegungsort; Anzeigepflicht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Hinterlegung hat bei der Hinterlegungsstelle des Leistungsorts zu erfolgen; hinterlegt der Schuldner bei einer anderen Stelle, so hat er dem Gläubiger den daraus entstehenden Schaden zu ersetzen.</w:t>
      </w:r>
    </w:p>
    <w:p>
      <w:r>
        <w:t xml:space="preserve">(2) Der Schuldner hat dem Gläubiger die Hinterlegung unverzüglich anzuzeigen; im Falle der Unterlassung ist er zum Schadensersatz verpflichtet. Die Anzeige darf unterbleiben, wenn sie untunlich ist.</w:t>
      </w:r>
    </w:p>
    <w:p>
      <w:r>
        <w:rPr>
          <w:color w:val="555555"/>
          <w:sz w:val="17"/>
        </w:rPr>
        <w:t xml:space="preserve">Zitiervorschlag: § 374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