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362 BGB — Erlöschen durch Leistung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15.08.2024 (konsolidierte Textfassung, kein amtliches Inkrafttretensdatum)</w:t>
      </w:r>
    </w:p>
    <w:p>
      <w:r>
        <w:t xml:space="preserve">(1) Das Schuldverhältnis erlischt, wenn die geschuldete Leistung an den Gläubiger bewirkt wird.</w:t>
      </w:r>
    </w:p>
    <w:p>
      <w:r>
        <w:t xml:space="preserve">(2) Wird an einen Dritten zum Zwecke der Erfüllung geleistet, so findet die Vorschrift des § 185 Anwendung.</w:t>
      </w:r>
    </w:p>
    <w:p>
      <w:r>
        <w:rPr>
          <w:color w:val="555555"/>
          <w:sz w:val="17"/>
        </w:rPr>
        <w:t xml:space="preserve">Zitiervorschlag: § 362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