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357e BGB — Rechtsfolgen des Widerrufs bei Verbraucherbauverträgen</w:t>
      </w:r>
    </w:p>
    <w:p>
      <w:r>
        <w:rPr>
          <w:color w:val="555555"/>
          <w:sz w:val="18"/>
        </w:rPr>
        <w:t xml:space="preserve">Bürgerliches Gesetzbuch</w:t>
      </w:r>
    </w:p>
    <w:p>
      <w:r>
        <w:rPr>
          <w:color w:val="555555"/>
          <w:sz w:val="18"/>
        </w:rPr>
        <w:t xml:space="preserve">Stand: 28.05.2022 (konsolidierte Textfassung, kein amtliches Inkrafttretensdatum)</w:t>
      </w:r>
    </w:p>
    <w:p>
      <w:r>
        <w:t xml:space="preserve">Ist die Rückgewähr der bis zum Widerruf erbrachten Leistung ihrer Natur nach ausgeschlossen, schuldet der Verbraucher dem Unternehmer Wertersatz. Bei der Berechnung des Wertersatzes ist die vereinbarte Vergütung zugrunde zu legen. Ist die vereinbarte Vergütung unverhältnismäßig hoch, ist der Wertersatz auf der Grundlage des Marktwertes der erbrachten Leistung zu berechnen.</w:t>
      </w:r>
    </w:p>
    <w:p>
      <w:r>
        <w:rPr>
          <w:color w:val="555555"/>
          <w:sz w:val="17"/>
        </w:rPr>
        <w:t xml:space="preserve">Zitiervorschlag: § 357e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https://recht.nulegal.eu/gesetze/BGB/357e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