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357d BGB — Rechtsfolgen des Widerrufs von weder im Fernabsatz noch außerhalb von Geschäftsräumen geschlossenen Ratenlieferungsverträgen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28.05.2022 (konsolidierte Textfassung, kein amtliches Inkrafttretensdatum)</w:t>
      </w:r>
    </w:p>
    <w:p>
      <w:r>
        <w:t xml:space="preserve">Für die Rückgewähr der empfangenen Leistungen gilt § 357 Absatz 1 bis 4 und 6 entsprechend. Der Verbraucher trägt die unmittelbaren Kosten der Rücksendung der empfangenen Sachen, es sei denn, der Unternehmer hat sich bereit erklärt, diese Kosten zu tragen. § 357a Absatz 1 ist mit der Maßgabe entsprechend anzuwenden, dass an die Stelle der Unterrichtung nach Artikel 246a § 1 Absatz 2 Satz 1 Nummer 1 des Einführungsgesetzes zum Bürgerlichen Gesetzbuche die Unterrichtung nach Artikel 246 Absatz 3 des Einführungsgesetzes zum Bürgerlichen Gesetzbuche tritt.</w:t>
      </w:r>
    </w:p>
    <w:p>
      <w:r>
        <w:rPr>
          <w:color w:val="555555"/>
          <w:sz w:val="17"/>
        </w:rPr>
        <w:t xml:space="preserve">Zitiervorschlag: § 357d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https://recht.nulegal.eu/gesetze/BGB/357d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