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347 BGB — Nutzungen und Verwendungen nach Rücktritt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Zieht der Schuldner Nutzungen entgegen den Regeln einer ordnungsmäßigen Wirtschaft nicht, obwohl ihm das möglich gewesen wäre, so ist er dem Gläubiger zum Wertersatz verpflichtet. Im Falle eines gesetzlichen Rücktrittsrechts hat der Berechtigte hinsichtlich der Nutzungen nur für diejenige Sorgfalt einzustehen, die er in eigenen Angelegenheiten anzuwenden pflegt.</w:t>
      </w:r>
    </w:p>
    <w:p>
      <w:r>
        <w:t xml:space="preserve">(2) Gibt der Schuldner den Gegenstand zurück, leistet er Wertersatz oder ist seine Wertersatzpflicht gemäß § 346 Abs. 3 Nr. 1 oder 2 ausgeschlossen, so sind ihm notwendige Verwendungen zu ersetzen. Andere Aufwendungen sind zu ersetzen, soweit der Gläubiger durch diese bereichert wird.</w:t>
      </w:r>
    </w:p>
    <w:p>
      <w:r>
        <w:rPr>
          <w:color w:val="555555"/>
          <w:sz w:val="17"/>
        </w:rPr>
        <w:t xml:space="preserve">Zitiervorschlag: § 347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