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346 BGB — Wirkungen des Rücktritts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sich eine Vertragspartei vertraglich den Rücktritt vorbehalten oder steht ihr ein gesetzliches Rücktrittsrecht zu, so sind im Falle des Rücktritts die empfangenen Leistungen zurückzugewähren und die gezogenen Nutzungen herauszugeben.</w:t>
      </w:r>
    </w:p>
    <w:p>
      <w:r>
        <w:t xml:space="preserve">(2) Statt der Rückgewähr oder Herausgabe hat der Schuldner Wertersatz zu leisten, soweit</w:t>
      </w:r>
    </w:p>
    <w:p>
      <w:pPr>
        <w:ind w:left="420"/>
      </w:pPr>
      <w:r>
        <w:t xml:space="preserve">1. die Rückgewähr oder die Herausgabe nach der Natur des Erlangten ausgeschlossen ist,</w:t>
      </w:r>
    </w:p>
    <w:p>
      <w:pPr>
        <w:ind w:left="420"/>
      </w:pPr>
      <w:r>
        <w:t xml:space="preserve">2. er den empfangenen Gegenstand verbraucht, veräußert, belastet, verarbeitet oder umgestaltet hat,</w:t>
      </w:r>
    </w:p>
    <w:p>
      <w:pPr>
        <w:ind w:left="420"/>
      </w:pPr>
      <w:r>
        <w:t xml:space="preserve">3. der empfangene Gegenstand sich verschlechtert hat oder untergegangen ist; jedoch bleibt die durch die bestimmungsgemäße Ingebrauchnahme entstandene Verschlechterung außer Betracht.</w:t>
      </w:r>
    </w:p>
    <w:p>
      <w:r>
        <w:t xml:space="preserve">Ist im Vertrag eine Gegenleistung bestimmt, ist sie bei der Berechnung des Wertersatzes zugrunde zu legen; ist Wertersatz für den Gebrauchsvorteil eines Darlehens zu leisten, kann nachgewiesen werden, dass der Wert des Gebrauchsvorteils niedriger war.</w:t>
      </w:r>
    </w:p>
    <w:p>
      <w:r>
        <w:t xml:space="preserve">(3) Die Pflicht zum Wertersatz entfällt,</w:t>
      </w:r>
    </w:p>
    <w:p>
      <w:pPr>
        <w:ind w:left="420"/>
      </w:pPr>
      <w:r>
        <w:t xml:space="preserve">1. wenn sich der zum Rücktritt berechtigende Mangel erst während der Verarbeitung oder Umgestaltung des Gegenstandes gezeigt hat,</w:t>
      </w:r>
    </w:p>
    <w:p>
      <w:pPr>
        <w:ind w:left="420"/>
      </w:pPr>
      <w:r>
        <w:t xml:space="preserve">2. soweit der Gläubiger die Verschlechterung oder den Untergang zu vertreten hat oder der Schaden bei ihm gleichfalls eingetreten wäre,</w:t>
      </w:r>
    </w:p>
    <w:p>
      <w:pPr>
        <w:ind w:left="420"/>
      </w:pPr>
      <w:r>
        <w:t xml:space="preserve">3. wenn im Falle eines gesetzlichen Rücktrittsrechts die Verschlechterung oder der Untergang beim Berechtigten eingetreten ist, obwohl dieser diejenige Sorgfalt beobachtet hat, die er in eigenen Angelegenheiten anzuwenden pflegt.</w:t>
      </w:r>
    </w:p>
    <w:p>
      <w:r>
        <w:t xml:space="preserve">Eine verbleibende Bereicherung ist herauszugeben.</w:t>
      </w:r>
    </w:p>
    <w:p>
      <w:r>
        <w:t xml:space="preserve">(4) Der Gläubiger kann wegen Verletzung einer Pflicht aus Absatz 1 nach Maßgabe der §§ 280 bis 283 Schadensersatz verlangen.</w:t>
      </w:r>
    </w:p>
    <w:p>
      <w:r>
        <w:rPr>
          <w:color w:val="555555"/>
          <w:sz w:val="17"/>
        </w:rPr>
        <w:t xml:space="preserve">Zitiervorschlag: § 346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https://recht.nulegal.eu/gesetze/BGB/346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