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BGB — Satzungsänderung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(1) Zu einem Beschluss, der eine Änderung der Satzung enthält, ist eine Mehrheit von drei Vierteln der abgegebenen Stimmen erforderlich. Zur Änderung des Zweckes des Vereins ist die Zustimmung aller Mitglieder erforderlich; die Zustimmung der nicht erschienenen Mitglieder muss in Textform erfolgen.</w:t>
      </w:r>
    </w:p>
    <w:p>
      <w:r>
        <w:t xml:space="preserve">(2) Beruht die Rechtsfähigkeit des Vereins auf Verleihung, so ist zu jeder Änderung der Satzung die Genehmigung der zuständigen Behörde erforderlich.</w:t>
      </w:r>
    </w:p>
    <w:p>
      <w:r>
        <w:rPr>
          <w:color w:val="555555"/>
          <w:sz w:val="17"/>
        </w:rPr>
        <w:t xml:space="preserve">Zitiervorschlag: § 33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