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327c BGB — Rechte bei unterbliebener Bereitstellung</w:t>
      </w:r>
    </w:p>
    <w:p>
      <w:r>
        <w:rPr>
          <w:color w:val="555555"/>
          <w:sz w:val="18"/>
        </w:rPr>
        <w:t xml:space="preserve">Bürgerliches Gesetzbuch</w:t>
      </w:r>
    </w:p>
    <w:p>
      <w:r>
        <w:rPr>
          <w:color w:val="555555"/>
          <w:sz w:val="18"/>
        </w:rPr>
        <w:t xml:space="preserve">Stand: 01.01.2022 (konsolidierte Textfassung, kein amtliches Inkrafttretensdatum)</w:t>
      </w:r>
    </w:p>
    <w:p>
      <w:r>
        <w:t xml:space="preserve">(1) Kommt der Unternehmer seiner fälligen Verpflichtung zur Bereitstellung des digitalen Produkts auf Aufforderung des Verbrauchers nicht unverzüglich nach, so kann der Verbraucher den Vertrag beenden. Nach einer Aufforderung gemäß Satz 1 kann eine andere Zeit für die Bereitstellung nur ausdrücklich vereinbart werden.</w:t>
      </w:r>
    </w:p>
    <w:p>
      <w:r>
        <w:t xml:space="preserve">(2) Liegen die Voraussetzungen für eine Beendigung des Vertrags nach Absatz 1 Satz 1 vor, so kann der Verbraucher nach den §§ 280 und 281 Absatz 1 Satz 1 Schadensersatz oder nach § 284 Ersatz vergeblicher Aufwendungen verlangen, wenn die Voraussetzungen dieser Vorschriften vorliegen. § 281 Absatz 1 Satz 1 ist mit der Maßgabe anzuwenden, dass an die Stelle der Bestimmung einer angemessenen Frist die Aufforderung nach Absatz 1 Satz 1 tritt. Ansprüche des Verbrauchers auf Schadensersatz nach den §§ 283 und 311a Absatz 2 bleiben unberührt.</w:t>
      </w:r>
    </w:p>
    <w:p>
      <w:r>
        <w:t xml:space="preserve">(3) Die Aufforderung nach Absatz 1 Satz 1 und Absatz 2 Satz 2 ist entbehrlich, wenn</w:t>
      </w:r>
    </w:p>
    <w:p>
      <w:pPr>
        <w:ind w:left="420"/>
      </w:pPr>
      <w:r>
        <w:t xml:space="preserve">1. der Unternehmer die Bereitstellung verweigert,</w:t>
      </w:r>
    </w:p>
    <w:p>
      <w:pPr>
        <w:ind w:left="420"/>
      </w:pPr>
      <w:r>
        <w:t xml:space="preserve">2. es nach den Umständen eindeutig zu erkennen ist, dass der Unternehmer das digitale Produkt nicht bereitstellen wird, oder</w:t>
      </w:r>
    </w:p>
    <w:p>
      <w:pPr>
        <w:ind w:left="420"/>
      </w:pPr>
      <w:r>
        <w:t xml:space="preserve">3. der Unternehmer die Bereitstellung bis zu einem bestimmten Termin oder innerhalb einer bestimmten Frist nicht bewirkt, obwohl vereinbart war oder es sich für den Unternehmer aus eindeutig erkennbaren, den Vertragsabschluss begleitenden Umständen ergeben konnte, dass die termin- oder fristgerechte Bereitstellung für den Verbraucher wesentlich ist.</w:t>
      </w:r>
    </w:p>
    <w:p>
      <w:r>
        <w:t xml:space="preserve">In den Fällen des Satzes 1 ist die Mahnung gemäß § 286 stets entbehrlich.</w:t>
      </w:r>
    </w:p>
    <w:p>
      <w:r>
        <w:t xml:space="preserve">(4) Für die Beendigung des Vertrags nach Absatz 1 Satz 1 und deren Rechtsfolgen sind die §§ 327o und 327p entsprechend anzuwenden. Das Gleiche gilt für den Fall, dass der Verbraucher in den Fällen des Absatzes 2 Schadensersatz statt der ganzen Leistung verlangt. § 325 gilt entsprechend.</w:t>
      </w:r>
    </w:p>
    <w:p>
      <w:r>
        <w:t xml:space="preserve">(5) § 218 ist auf die Vertragsbeendigung nach Absatz 1 Satz 1 entsprechend anzuwenden.</w:t>
      </w:r>
    </w:p>
    <w:p>
      <w:r>
        <w:t xml:space="preserve">(6) Sofern der Verbraucher den Vertrag nach Absatz 1 Satz 1 beenden kann, kann er sich im Hinblick auf alle Bestandteile des Paketvertrags vom Vertrag lösen, wenn er an dem anderen Teil des Paketvertrags ohne das nicht bereitgestellte digitale Produkt kein Interesse hat. Satz 1 ist nicht auf Paketverträge anzuwenden, bei denen der andere Bestandteil ein Telekommunikationsdienst im Sinne des § 3 Nummer 61 des Telekommunikationsgesetzes ist.</w:t>
      </w:r>
    </w:p>
    <w:p>
      <w:r>
        <w:t xml:space="preserve">(7) Sofern der Verbraucher den Vertrag nach Absatz 1 Satz 1 beenden kann, kann er sich im Hinblick auf alle Bestandteile eines Vertrags nach § 327a Absatz 2 vom Vertrag lösen, wenn aufgrund des nicht bereitgestellten digitalen Produkts sich die Sache nicht zur gewöhnlichen Verwendung eignet.</w:t>
      </w:r>
    </w:p>
    <w:p>
      <w:r>
        <w:rPr>
          <w:color w:val="555555"/>
          <w:sz w:val="17"/>
        </w:rPr>
        <w:t xml:space="preserve">Zitiervorschlag: § 327c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https://recht.nulegal.eu/gesetze/BGB/327c</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327c BGB</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