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300 BGB — Wirkungen des Gläubigerverzugs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Schuldner hat während des Verzugs des Gläubigers nur Vorsatz und grobe Fahrlässigkeit zu vertreten.</w:t>
      </w:r>
    </w:p>
    <w:p>
      <w:r>
        <w:t xml:space="preserve">(2) Wird eine nur der Gattung nach bestimmte Sache geschuldet, so geht die Gefahr mit dem Zeitpunkt auf den Gläubiger über, in welchem er dadurch in Verzug kommt, dass er die angebotene Sache nicht annimmt.</w:t>
      </w:r>
    </w:p>
    <w:p>
      <w:r>
        <w:rPr>
          <w:color w:val="555555"/>
          <w:sz w:val="17"/>
        </w:rPr>
        <w:t xml:space="preserve">Zitiervorschlag: § 300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