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292 BGB — Haftung bei Herausgabepflicht</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Hat der Schuldner einen bestimmten Gegenstand herauszugeben, so bestimmt sich von dem Eintritt der Rechtshängigkeit an der Anspruch des Gläubigers auf Schadensersatz wegen Verschlechterung, Untergangs oder einer aus einem anderen Grunde eintretenden Unmöglichkeit der Herausgabe nach den Vorschriften, welche für das Verhältnis zwischen dem Eigentümer und dem Besitzer von dem Eintritt der Rechtshängigkeit des Eigentumsanspruchs an gelten, soweit nicht aus dem Schuldverhältnis oder dem Verzug des Schuldners sich zugunsten des Gläubigers ein anderes ergibt.</w:t>
      </w:r>
    </w:p>
    <w:p>
      <w:r>
        <w:t xml:space="preserve">(2) Das Gleiche gilt von dem Anspruch des Gläubigers auf Herausgabe oder Vergütung von Nutzungen und von dem Anspruch des Schuldners auf Ersatz von Verwendungen.</w:t>
      </w:r>
    </w:p>
    <w:p>
      <w:r>
        <w:rPr>
          <w:color w:val="555555"/>
          <w:sz w:val="17"/>
        </w:rPr>
        <w:t xml:space="preserve">Zitiervorschlag: § 292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https://recht.nulegal.eu/gesetze/BGB/292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