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291 BGB — Prozesszinsen</w:t>
      </w:r>
    </w:p>
    <w:p>
      <w:r>
        <w:rPr>
          <w:color w:val="555555"/>
          <w:sz w:val="18"/>
        </w:rPr>
        <w:t xml:space="preserve">Bürgerliches Gesetzbuch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Eine Geldschuld hat der Schuldner von dem Eintritt der Rechtshängigkeit an zu verzinsen, auch wenn er nicht im Verzug ist; wird die Schuld erst später fällig, so ist sie von der Fälligkeit an zu verzinsen. Die Vorschriften des § 288 Abs. 1 Satz 2, Abs. 2, Abs. 3 und des § 289 Satz 1 finden entsprechende Anwendung.</w:t>
      </w:r>
    </w:p>
    <w:p>
      <w:r>
        <w:rPr>
          <w:color w:val="555555"/>
          <w:sz w:val="17"/>
        </w:rPr>
        <w:t xml:space="preserve">Zitiervorschlag: § 291 BGB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https://recht.nulegal.eu/gesetze/BGB/291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