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285 BGB — Herausgabe des Ersatzes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Erlangt der Schuldner infolge des Umstands, auf Grund dessen er die Leistung nach § 275 Abs. 1 bis 3 nicht zu erbringen braucht, für den geschuldeten Gegenstand einen Ersatz oder einen Ersatzanspruch, so kann der Gläubiger Herausgabe des als Ersatz Empfangenen oder Abtretung des Ersatzanspruchs verlangen.</w:t>
      </w:r>
    </w:p>
    <w:p>
      <w:r>
        <w:t xml:space="preserve">(2) Kann der Gläubiger statt der Leistung Schadensersatz verlangen, so mindert sich dieser, wenn er von dem in Absatz 1 bestimmten Recht Gebrauch macht, um den Wert des erlangten Ersatzes oder Ersatzanspruchs.</w:t>
      </w:r>
    </w:p>
    <w:p>
      <w:r>
        <w:rPr>
          <w:color w:val="555555"/>
          <w:sz w:val="17"/>
        </w:rPr>
        <w:t xml:space="preserve">Zitiervorschlag: § 285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