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280 BGB — Schadensersatz wegen Pflichtverletzung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Verletzt der Schuldner eine Pflicht aus dem Schuldverhältnis, so kann der Gläubiger Ersatz des hierdurch entstehenden Schadens verlangen. Dies gilt nicht, wenn der Schuldner die Pflichtverletzung nicht zu vertreten hat.</w:t>
      </w:r>
    </w:p>
    <w:p>
      <w:r>
        <w:t xml:space="preserve">(2) Schadensersatz wegen Verzögerung der Leistung kann der Gläubiger nur unter der zusätzlichen Voraussetzung des § 286 verlangen.</w:t>
      </w:r>
    </w:p>
    <w:p>
      <w:r>
        <w:t xml:space="preserve">(3) Schadensersatz statt der Leistung kann der Gläubiger nur unter den zusätzlichen Voraussetzungen des § 281, des § 282 oder des § 283 verlangen.</w:t>
      </w:r>
    </w:p>
    <w:p>
      <w:r>
        <w:rPr>
          <w:color w:val="555555"/>
          <w:sz w:val="17"/>
        </w:rPr>
        <w:t xml:space="preserve">Zitiervorschlag: § 280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https://recht.nulegal.eu/gesetze/BGB/280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