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271 BGB — Leistungszeit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Zeit für die Leistung weder bestimmt noch aus den Umständen zu entnehmen, so kann der Gläubiger die Leistung sofort verlangen, der Schuldner sie sofort bewirken.</w:t>
      </w:r>
    </w:p>
    <w:p>
      <w:r>
        <w:t xml:space="preserve">(2) Ist eine Zeit bestimmt, so ist im Zweifel anzunehmen, dass der Gläubiger die Leistung nicht vor dieser Zeit verlangen, der Schuldner aber sie vorher bewirken kann.</w:t>
      </w:r>
    </w:p>
    <w:p>
      <w:r>
        <w:rPr>
          <w:color w:val="555555"/>
          <w:sz w:val="17"/>
        </w:rPr>
        <w:t xml:space="preserve">Zitiervorschlag: § 271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