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243 BGB — Gattungsschuld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nur der Gattung nach bestimmte Sache schuldet, hat eine Sache von mittlerer Art und Güte zu leisten.</w:t>
      </w:r>
    </w:p>
    <w:p>
      <w:r>
        <w:t xml:space="preserve">(2) Hat der Schuldner das zur Leistung einer solchen Sache seinerseits Erforderliche getan, so beschränkt sich das Schuldverhältnis auf diese Sache.</w:t>
      </w:r>
    </w:p>
    <w:p>
      <w:r>
        <w:rPr>
          <w:color w:val="555555"/>
          <w:sz w:val="17"/>
        </w:rPr>
        <w:t xml:space="preserve">Zitiervorschlag: § 243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243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