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239 BGB — Bürge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Bürge ist tauglich, wenn er ein der Höhe der zu leistenden Sicherheit angemessenes Vermögen besitzt und seinen allgemeinen Gerichtsstand im Inland hat.</w:t>
      </w:r>
    </w:p>
    <w:p>
      <w:r>
        <w:t xml:space="preserve">(2) Die Bürgschaftserklärung muss den Verzicht auf die Einrede der Vorausklage enthalten.</w:t>
      </w:r>
    </w:p>
    <w:p>
      <w:r>
        <w:rPr>
          <w:color w:val="555555"/>
          <w:sz w:val="17"/>
        </w:rPr>
        <w:t xml:space="preserve">Zitiervorschlag: § 239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