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2375 BGB — Ersatzpflicht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Hat der Verkäufer vor dem Verkauf einen Erbschaftsgegenstand verbraucht, unentgeltlich veräußert oder unentgeltlich belastet, so ist er verpflichtet, dem Käufer den Wert des verbrauchten oder veräußerten Gegenstands, im Falle der Belastung die Wertminderung zu ersetzen. Die Ersatzpflicht tritt nicht ein, wenn der Käufer den Verbrauch oder die unentgeltliche Verfügung bei dem Abschluss des Kaufs kennt.</w:t>
      </w:r>
    </w:p>
    <w:p>
      <w:r>
        <w:t xml:space="preserve">(2) Im Übrigen kann der Käufer wegen Verschlechterung, Untergangs oder einer aus einem anderen Grunde eingetretenen Unmöglichkeit der Herausgabe eines Erbschaftsgegenstands nicht Ersatz verlangen.</w:t>
      </w:r>
    </w:p>
    <w:p>
      <w:r>
        <w:rPr>
          <w:color w:val="555555"/>
          <w:sz w:val="17"/>
        </w:rPr>
        <w:t xml:space="preserve">Zitiervorschlag: § 2375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https://recht.nulegal.eu/gesetze/BGB/2375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