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2362 BGB — Herausgabe- und Auskunftsanspruch des wirklichen Erben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wirkliche Erbe kann von dem Besitzer eines unrichtigen Erbscheins die Herausgabe an das Nachlassgericht verlangen.</w:t>
      </w:r>
    </w:p>
    <w:p>
      <w:r>
        <w:t xml:space="preserve">(2) Derjenige, welchem ein unrichtiger Erbschein erteilt worden ist, hat dem wirklichen Erben über den Bestand der Erbschaft und über den Verbleib der Erbschaftsgegenstände Auskunft zu erteilen.</w:t>
      </w:r>
    </w:p>
    <w:p>
      <w:r>
        <w:rPr>
          <w:color w:val="555555"/>
          <w:sz w:val="17"/>
        </w:rPr>
        <w:t xml:space="preserve">Zitiervorschlag: § 2362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