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2345 BGB — Vermächtnisunwürdigkeit; Pflichtteilsunwürdigkeit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Hat sich ein Vermächtnisnehmer einer der in § 2339 Abs. 1 bezeichneten Verfehlungen schuldig gemacht, so ist der Anspruch aus dem Vermächtnis anfechtbar. Die Vorschriften der §§ 2082, 2083, 2339 Abs. 2 und der §§ 2341, 2343 finden Anwendung.</w:t>
      </w:r>
    </w:p>
    <w:p>
      <w:r>
        <w:t xml:space="preserve">(2) Das Gleiche gilt für einen Pflichtteilsanspruch, wenn der Pflichtteilsberechtigte sich einer solchen Verfehlung schuldig gemacht hat.</w:t>
      </w:r>
    </w:p>
    <w:p>
      <w:r>
        <w:rPr>
          <w:color w:val="555555"/>
          <w:sz w:val="17"/>
        </w:rPr>
        <w:t xml:space="preserve">Zitiervorschlag: § 2345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https://recht.nulegal.eu/gesetze/BGB/2345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