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2342 BGB — Anfechtungsklage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Anfechtung erfolgt durch Erhebung der Anfechtungsklage. Die Klage ist darauf zu richten, dass der Erbe für erbunwürdig erklärt wird.</w:t>
      </w:r>
    </w:p>
    <w:p>
      <w:r>
        <w:t xml:space="preserve">(2) Die Wirkung der Anfechtung tritt erst mit der Rechtskraft des Urteils ein.</w:t>
      </w:r>
    </w:p>
    <w:p>
      <w:r>
        <w:rPr>
          <w:color w:val="555555"/>
          <w:sz w:val="17"/>
        </w:rPr>
        <w:t xml:space="preserve">Zitiervorschlag: § 2342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https://recht.nulegal.eu/gesetze/BGB/2342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