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2340 BGB — Geltendmachung der Erbunwürdigkeit durch Anfechtung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Erbunwürdigkeit wird durch Anfechtung des Erbschaftserwerbs geltend gemacht.</w:t>
      </w:r>
    </w:p>
    <w:p>
      <w:r>
        <w:t xml:space="preserve">(2) Die Anfechtung ist erst nach dem Anfall der Erbschaft zulässig. Einem Nacherben gegenüber kann die Anfechtung erfolgen, sobald die Erbschaft dem Vorerben angefallen ist.</w:t>
      </w:r>
    </w:p>
    <w:p>
      <w:r>
        <w:t xml:space="preserve">(3) Die Anfechtung kann nur innerhalb der in § 2082 bestimmten Fristen erfolgen.</w:t>
      </w:r>
    </w:p>
    <w:p>
      <w:r>
        <w:rPr>
          <w:color w:val="555555"/>
          <w:sz w:val="17"/>
        </w:rPr>
        <w:t xml:space="preserve">Zitiervorschlag: § 2340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