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2336 BGB — Form, Beweislast, Unwirksamwerden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Entziehung des Pflichtteils erfolgt durch letztwillige Verfügung.</w:t>
      </w:r>
    </w:p>
    <w:p>
      <w:r>
        <w:t xml:space="preserve">(2) Der Grund der Entziehung muss zur Zeit der Errichtung bestehen und in der Verfügung angegeben werden. Für eine Entziehung nach § 2333 Absatz 1 Nummer 4 muss zur Zeit der Errichtung die Tat begangen sein und der Grund für die Unzumutbarkeit vorliegen; beides muss in der Verfügung angegeben werden.</w:t>
      </w:r>
    </w:p>
    <w:p>
      <w:r>
        <w:t xml:space="preserve">(3) Der Beweis des Grundes liegt demjenigen ob, welcher die Entziehung geltend macht.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2336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