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2332 BGB — Verjährung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Verjährungsfrist des dem Pflichtteilsberechtigten nach § 2329 gegen den Beschenkten zustehenden Anspruchs beginnt mit dem Erbfall.</w:t>
      </w:r>
    </w:p>
    <w:p>
      <w:r>
        <w:t xml:space="preserve">(2) Die Verjährung des Pflichtteilsanspruchs und des Anspruchs nach § 2329 wird nicht dadurch gehemmt, dass die Ansprüche erst nach der Ausschlagung der Erbschaft oder eines Vermächtnisses geltend gemacht werden können.</w:t>
      </w:r>
    </w:p>
    <w:p>
      <w:r>
        <w:rPr>
          <w:color w:val="555555"/>
          <w:sz w:val="17"/>
        </w:rPr>
        <w:t xml:space="preserve">Zitiervorschlag: § 2332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https://recht.nulegal.eu/gesetze/BGB/2332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