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 BGB — Arten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Sicherheit zu leisten hat, kann dies bewirken durch Hinterlegung von Geld oder Wertpapieren, durch Verpfändung von Forderungen, die in das Bundesschuldbuch oder in das Landesschuldbuch eines Landes eingetragen sind, durch Verpfändung beweglicher Sachen, durch Bestellung von Schiffshypotheken an Schiffen oder Schiffsbauwerken, die in einem deutschen Schiffsregister oder Schiffsbauregister eingetragen sind, durch Bestellung von Hypotheken an inländischen Grundstücken, durch Verpfändung von Forderungen, für die eine Hypothek an einem inländischen Grundstück besteht, oder durch Verpfändung von Grundschulden oder Rentenschulden an inländischen Grundstücken.</w:t>
      </w:r>
    </w:p>
    <w:p>
      <w:r>
        <w:t xml:space="preserve">(2) Kann die Sicherheit nicht in dieser Weise geleistet werden, so ist die Stellung eines tauglichen Bürgen zulässig.</w:t>
      </w:r>
    </w:p>
    <w:p>
      <w:r>
        <w:rPr>
          <w:color w:val="555555"/>
          <w:sz w:val="17"/>
        </w:rPr>
        <w:t xml:space="preserve">Zitiervorschlag: § 232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