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2317 BGB — Entstehung und Übertragbarkeit des Pflichtteilsanspruchs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Anspruch auf den Pflichtteil entsteht mit dem Erbfall.</w:t>
      </w:r>
    </w:p>
    <w:p>
      <w:r>
        <w:t xml:space="preserve">(2) Der Anspruch ist vererblich und übertragbar.</w:t>
      </w:r>
    </w:p>
    <w:p>
      <w:r>
        <w:rPr>
          <w:color w:val="555555"/>
          <w:sz w:val="17"/>
        </w:rPr>
        <w:t xml:space="preserve">Zitiervorschlag: § 2317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