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2307 BGB — Zuwendung eines Vermächtnisses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ein Pflichtteilsberechtigter mit einem Vermächtnis bedacht, so kann er den Pflichtteil verlangen, wenn er das Vermächtnis ausschlägt. Schlägt er nicht aus, so steht ihm ein Recht auf den Pflichtteil nicht zu, soweit der Wert des Vermächtnisses reicht; bei der Berechnung des Wertes bleiben Beschränkungen und Beschwerungen der in § 2306 bezeichneten Art außer Betracht.</w:t>
      </w:r>
    </w:p>
    <w:p>
      <w:r>
        <w:t xml:space="preserve">(2) Der mit dem Vermächtnis beschwerte Erbe kann den Pflichtteilsberechtigten unter Bestimmung einer angemessenen Frist zur Erklärung über die Annahme des Vermächtnisses auffordern. Mit dem Ablauf der Frist gilt das Vermächtnis als ausgeschlagen, wenn nicht vorher die Annahme erklärt wird.</w:t>
      </w:r>
    </w:p>
    <w:p>
      <w:r>
        <w:rPr>
          <w:color w:val="555555"/>
          <w:sz w:val="17"/>
        </w:rPr>
        <w:t xml:space="preserve">Zitiervorschlag: § 2307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