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2282 BGB — Vertretung, Form der Anfechtung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Anfechtung kann nicht durch einen Vertreter des Erblassers erfolgen.</w:t>
      </w:r>
    </w:p>
    <w:p>
      <w:r>
        <w:t xml:space="preserve">(2) Für einen geschäftsunfähigen Erblasser kann sein Betreuer den Erbvertrag anfechten.</w:t>
      </w:r>
    </w:p>
    <w:p>
      <w:r>
        <w:t xml:space="preserve">(3) Die Anfechtungserklärung bedarf der notariellen Beurkundung.</w:t>
      </w:r>
    </w:p>
    <w:p>
      <w:r>
        <w:rPr>
          <w:color w:val="555555"/>
          <w:sz w:val="17"/>
        </w:rPr>
        <w:t xml:space="preserve">Zitiervorschlag: § 2282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