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2280 BGB — Anwendung von § 2269</w:t>
      </w:r>
    </w:p>
    <w:p>
      <w:r>
        <w:rPr>
          <w:color w:val="555555"/>
          <w:sz w:val="18"/>
        </w:rPr>
        <w:t xml:space="preserve">Bürgerliches Gesetzbuch</w:t>
      </w:r>
    </w:p>
    <w:p>
      <w:r>
        <w:rPr>
          <w:color w:val="555555"/>
          <w:sz w:val="18"/>
        </w:rPr>
        <w:t xml:space="preserve">Stand: 10.06.2019 (konsolidierte Textfassung, kein amtliches Inkrafttretensdatum)</w:t>
      </w:r>
    </w:p>
    <w:p>
      <w:r>
        <w:t xml:space="preserve">Haben Ehegatten oder Lebenspartner in einem Erbvertrag, durch den sie sich gegenseitig als Erben einsetzen, bestimmt, dass nach dem Tode des Überlebenden der beiderseitige Nachlass an einen Dritten fallen soll, oder ein Vermächtnis angeordnet, das nach dem Tode des Überlebenden zu erfüllen ist, so findet die Vorschrift des § 2269 entsprechende Anwendung.</w:t>
      </w:r>
    </w:p>
    <w:p>
      <w:r>
        <w:rPr>
          <w:color w:val="555555"/>
          <w:sz w:val="17"/>
        </w:rPr>
        <w:t xml:space="preserve">Zitiervorschlag: § 2280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https://recht.nulegal.eu/gesetze/BGB/2280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