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2276 BGB — Form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17.08.2024 (konsolidierte Textfassung, kein amtliches Inkrafttretensdatum)</w:t>
      </w:r>
    </w:p>
    <w:p>
      <w:r>
        <w:t xml:space="preserve">(1) Ein Erbvertrag kann nur zur Niederschrift eines Notars bei gleichzeitiger Anwesenheit beider Teile geschlossen werden. Die Vorschriften des § 2231 Nr. 1 und der §§ 2232, 2233 sind anzuwenden; was nach diesen Vorschriften für den Erblasser gilt, gilt für jeden der Vertragschließenden.</w:t>
      </w:r>
    </w:p>
    <w:p>
      <w:r>
        <w:t xml:space="preserve">(2) Für einen Erbvertrag zwischen Ehegatten oder zwischen Verlobten, der mit einem Ehevertrag in derselben Urkunde verbunden wird, genügt die für den Ehevertrag vorgeschriebene Form.</w:t>
      </w:r>
    </w:p>
    <w:p>
      <w:r>
        <w:rPr>
          <w:color w:val="555555"/>
          <w:sz w:val="17"/>
        </w:rPr>
        <w:t xml:space="preserve">Zitiervorschlag: § 2276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https://recht.nulegal.eu/gesetze/BGB/2276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