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2275 BGB — Voraussetzungen</w:t>
      </w:r>
    </w:p>
    <w:p>
      <w:r>
        <w:rPr>
          <w:color w:val="555555"/>
          <w:sz w:val="18"/>
        </w:rPr>
        <w:t xml:space="preserve">Bürgerliches Gesetzbuch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Einen Erbvertrag kann als Erblasser nur schließen, wer unbeschränkt geschäftsfähig ist.</w:t>
      </w:r>
    </w:p>
    <w:p>
      <w:r>
        <w:rPr>
          <w:color w:val="555555"/>
          <w:sz w:val="17"/>
        </w:rPr>
        <w:t xml:space="preserve">Zitiervorschlag: § 2275 BGB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https://recht.nulegal.eu/gesetze/BGB/2275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