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2256 BGB — Widerruf durch Rücknahme des Testaments aus der amtlichen Verwahrung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vor einem Notar oder nach § 2249 errichtetes Testament gilt als widerrufen, wenn die in amtliche Verwahrung genommene Urkunde dem Erblasser zurückgegeben wird. Die zurückgebende Stelle soll den Erblasser über die in Satz 1 vorgesehene Folge der Rückgabe belehren, dies auf der Urkunde vermerken und aktenkundig machen, dass beides geschehen ist.</w:t>
      </w:r>
    </w:p>
    <w:p>
      <w:r>
        <w:t xml:space="preserve">(2) Der Erblasser kann die Rückgabe jederzeit verlangen. Das Testament darf nur an den Erblasser persönlich zurückgegeben werden.</w:t>
      </w:r>
    </w:p>
    <w:p>
      <w:r>
        <w:t xml:space="preserve">(3) Die Vorschriften des Absatzes 2 gelten auch für ein nach § 2248 hinterlegtes Testament; die Rückgabe ist auf die Wirksamkeit des Testaments ohne Einfluss.</w:t>
      </w:r>
    </w:p>
    <w:p>
      <w:r>
        <w:rPr>
          <w:color w:val="555555"/>
          <w:sz w:val="17"/>
        </w:rPr>
        <w:t xml:space="preserve">Zitiervorschlag: § 2256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