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2231 BGB — Ordentliche Testamente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Testament kann in ordentlicher Form errichtet werden</w:t>
      </w:r>
    </w:p>
    <w:p>
      <w:pPr>
        <w:ind w:left="420"/>
      </w:pPr>
      <w:r>
        <w:t xml:space="preserve">1. zur Niederschrift eines Notars,</w:t>
      </w:r>
    </w:p>
    <w:p>
      <w:pPr>
        <w:ind w:left="420"/>
      </w:pPr>
      <w:r>
        <w:t xml:space="preserve">2. durch eine vom Erblasser nach § 2247 abgegebene Erklärung.</w:t>
      </w:r>
    </w:p>
    <w:p>
      <w:r>
        <w:rPr>
          <w:color w:val="555555"/>
          <w:sz w:val="17"/>
        </w:rPr>
        <w:t xml:space="preserve">Zitiervorschlag: § 2231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