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2191 BGB — Nachvermächtnisnehmer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der Erblasser den vermachten Gegenstand von einem nach dem Anfall des Vermächtnisses eintretenden bestimmten Zeitpunkt oder Ereignis an einem Dritten zugewendet, so gilt der erste Vermächtnisnehmer als beschwert.</w:t>
      </w:r>
    </w:p>
    <w:p>
      <w:r>
        <w:t xml:space="preserve">(2) Auf das Vermächtnis finden die für die Einsetzung eines Nacherben geltenden Vorschriften des § 2102, des § 2106 Abs. 1, des § 2107 und des § 2110 Abs. 1 entsprechende Anwendung.</w:t>
      </w:r>
    </w:p>
    <w:p>
      <w:r>
        <w:rPr>
          <w:color w:val="555555"/>
          <w:sz w:val="17"/>
        </w:rPr>
        <w:t xml:space="preserve">Zitiervorschlag: § 2191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https://recht.nulegal.eu/gesetze/BGB/2191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