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2188 BGB — Kürzung der Beschwerungen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Wird die einem Vermächtnisnehmer gebührende Leistung auf Grund der Beschränkung der Haftung des Erben, wegen eines Pflichtteilsanspruchs oder in Gemäßheit des § 2187 gekürzt, so kann der Vermächtnisnehmer, sofern nicht ein anderer Wille des Erblassers anzunehmen ist, die ihm auferlegten Beschwerungen verhältnismäßig kürzen.</w:t>
      </w:r>
    </w:p>
    <w:p>
      <w:r>
        <w:rPr>
          <w:color w:val="555555"/>
          <w:sz w:val="17"/>
        </w:rPr>
        <w:t xml:space="preserve">Zitiervorschlag: § 2188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https://recht.nulegal.eu/gesetze/BGB/2188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