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2182 BGB — Haftung für Rechtsmängel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nur der Gattung nach bestimmter Gegenstand vermacht, so hat der Beschwerte die gleichen Verpflichtungen wie ein Verkäufer nach den Vorschriften des § 433 Abs. 1 Satz 1, der §§ 436, 452 und 453. Er hat den Gegenstand dem Vermächtnisnehmer frei von Rechtsmängeln im Sinne des § 435 zu verschaffen. § 444 findet entsprechende Anwendung.</w:t>
      </w:r>
    </w:p>
    <w:p>
      <w:r>
        <w:t xml:space="preserve">(2) Dasselbe gilt im Zweifel, wenn ein bestimmter nicht zur Erbschaft gehörender Gegenstand vermacht ist, unbeschadet der sich aus dem § 2170 ergebenden Beschränkung der Haftung.</w:t>
      </w:r>
    </w:p>
    <w:p>
      <w:r>
        <w:t xml:space="preserve">(3) Ist ein Grundstück Gegenstand des Vermächtnisses, so haftet der Beschwerte im Zweifel nicht für die Freiheit des Grundstücks von Grunddienstbarkeiten, beschränkten persönlichen Dienstbarkeiten und Reallasten.</w:t>
      </w:r>
    </w:p>
    <w:p>
      <w:r>
        <w:rPr>
          <w:color w:val="555555"/>
          <w:sz w:val="17"/>
        </w:rPr>
        <w:t xml:space="preserve">Zitiervorschlag: § 2182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