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2172 BGB — Verbindung, Vermischung, Vermengung der vermachten Sache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Die Leistung einer vermachten Sache gilt auch dann als unmöglich, wenn die Sache mit einer anderen Sache in solcher Weise verbunden, vermischt oder vermengt worden ist, dass nach den §§ 946 bis 948 das Eigentum an der anderen Sache sich auf sie erstreckt oder Miteigentum eingetreten ist, oder wenn sie in solcher Weise verarbeitet oder umgebildet worden ist, dass nach § 950 derjenige, welcher die neue Sache hergestellt hat, Eigentümer geworden ist.</w:t>
      </w:r>
    </w:p>
    <w:p>
      <w:r>
        <w:t xml:space="preserve">(2) Ist die Verbindung, Vermischung oder Vermengung durch einen anderen als den Erblasser erfolgt und hat der Erblasser dadurch Miteigentum erworben, so gilt im Zweifel das Miteigentum als vermacht; steht dem Erblasser ein Recht zur Wegnahme der verbundenen Sache zu, so gilt im Zweifel dieses Recht als vermacht. Im Falle der Verarbeitung oder Umbildung durch einen anderen als den Erblasser bewendet es bei der Vorschrift des § 2169 Abs. 3.</w:t>
      </w:r>
    </w:p>
    <w:p>
      <w:r>
        <w:rPr>
          <w:color w:val="555555"/>
          <w:sz w:val="17"/>
        </w:rPr>
        <w:t xml:space="preserve">Zitiervorschlag: § 2172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