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2168 BGB — Belastung mit einer Gesamtgrundschuld</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Besteht an mehreren zur Erbschaft gehörenden Grundstücken eine Gesamtgrundschuld oder eine Gesamtrentenschuld und ist eines dieser Grundstücke vermacht, so ist der Vermächtnisnehmer im Zweifel dem Erben gegenüber zur Befriedigung des Gläubigers in Höhe des Teils der Grundschuld oder der Rentenschuld verpflichtet, der dem Verhältnis des Wertes des vermachten Grundstücks zu dem Wert der sämtlichen Grundstücke entspricht. Der Wert wird nach § 2166 Abs. 1 Satz 2 berechnet.</w:t>
      </w:r>
    </w:p>
    <w:p>
      <w:r>
        <w:t xml:space="preserve">(2) Ist neben dem vermachten Grundstück ein nicht zur Erbschaft gehörendes Grundstück mit einer Gesamtgrundschuld oder einer Gesamtrentenschuld belastet, so finden, wenn der Erblasser zur Zeit des Erbfalls gegenüber dem Eigentümer des anderen Grundstücks oder einem Rechtsvorgänger des Eigentümers zur Befriedigung des Gläubigers verpflichtet ist, die Vorschriften des § 2166 Abs. 1 und des § 2167 entsprechende Anwendung.</w:t>
      </w:r>
    </w:p>
    <w:p>
      <w:r>
        <w:rPr>
          <w:color w:val="555555"/>
          <w:sz w:val="17"/>
        </w:rPr>
        <w:t xml:space="preserve">Zitiervorschlag: § 2168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